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A" w:rsidRDefault="00D075AA" w:rsidP="00D075AA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325F9D" w:rsidRDefault="00325F9D" w:rsidP="00D075AA">
      <w:pPr>
        <w:ind w:firstLine="709"/>
        <w:jc w:val="right"/>
        <w:rPr>
          <w:rFonts w:ascii="PT Astra Serif" w:hAnsi="PT Astra Serif"/>
          <w:szCs w:val="28"/>
        </w:rPr>
      </w:pPr>
    </w:p>
    <w:p w:rsidR="00CF2C2A" w:rsidRPr="00CF2C2A" w:rsidRDefault="00CF2C2A" w:rsidP="00CF2C2A">
      <w:pPr>
        <w:shd w:val="clear" w:color="auto" w:fill="FFFFFF"/>
        <w:spacing w:before="147" w:after="92"/>
        <w:outlineLvl w:val="1"/>
        <w:rPr>
          <w:rFonts w:ascii="LatoBold" w:eastAsia="Times New Roman" w:hAnsi="LatoBold"/>
          <w:color w:val="222223"/>
          <w:sz w:val="18"/>
          <w:szCs w:val="18"/>
          <w:lang w:eastAsia="ru-RU"/>
        </w:rPr>
      </w:pPr>
      <w:r w:rsidRPr="00CF2C2A">
        <w:rPr>
          <w:rFonts w:ascii="LatoBold" w:eastAsia="Times New Roman" w:hAnsi="LatoBold"/>
          <w:color w:val="222223"/>
          <w:sz w:val="18"/>
          <w:szCs w:val="18"/>
          <w:lang w:eastAsia="ru-RU"/>
        </w:rPr>
        <w:t>Выступление Председателя КСП МО Богородицкий район на публичных слушаниях 17.05.2023 "О заключении Контрольно-счетной палаты муниципального образования Богородицкий район на годовой отчет об исполнении бюджета муниципального образования Богородицкий район</w:t>
      </w:r>
    </w:p>
    <w:p w:rsidR="00CF2C2A" w:rsidRPr="00CF2C2A" w:rsidRDefault="00CF2C2A" w:rsidP="00CF2C2A">
      <w:pPr>
        <w:shd w:val="clear" w:color="auto" w:fill="FFFFFF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proofErr w:type="spellStart"/>
      <w:r w:rsidRPr="00CF2C2A">
        <w:rPr>
          <w:rFonts w:ascii="Helvetica" w:eastAsia="Times New Roman" w:hAnsi="Helvetica"/>
          <w:color w:val="333333"/>
          <w:sz w:val="13"/>
          <w:szCs w:val="13"/>
          <w:lang w:eastAsia="ru-RU"/>
        </w:rPr>
        <w:t>Previous</w:t>
      </w:r>
      <w:proofErr w:type="spellEnd"/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379595" cy="5859145"/>
            <wp:effectExtent l="19050" t="0" r="1905" b="0"/>
            <wp:docPr id="1" name="Рисунок 1" descr="https://bogoroditsk.tularegion.ru/upload/resize_cache/iblock/129/10000_615_1/fk8h3k64mzwponmvjwc0poaeti02b0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oroditsk.tularegion.ru/upload/resize_cache/iblock/129/10000_615_1/fk8h3k64mzwponmvjwc0poaeti02b0um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222223"/>
          <w:sz w:val="14"/>
          <w:szCs w:val="14"/>
          <w:lang w:eastAsia="ru-RU"/>
        </w:rPr>
      </w:pPr>
      <w:r w:rsidRPr="00CF2C2A">
        <w:rPr>
          <w:rFonts w:ascii="Helvetica" w:eastAsia="Times New Roman" w:hAnsi="Helvetica"/>
          <w:color w:val="222223"/>
          <w:sz w:val="14"/>
          <w:szCs w:val="14"/>
          <w:lang w:eastAsia="ru-RU"/>
        </w:rPr>
        <w:t>Выступление Председателя КСП МО Богородицкий район на публичных слушаниях 17.05.2023 "О заключении Контрольно-счетной палаты муниципального образования Богородицкий район на годовой отчет об исполнении бюджета муниципального образования Богородицкий район</w:t>
      </w:r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4379595" cy="5859145"/>
            <wp:effectExtent l="19050" t="0" r="1905" b="0"/>
            <wp:docPr id="2" name="Рисунок 2" descr="https://bogoroditsk.tularegion.ru/upload/resize_cache/iblock/6b0/10000_615_1/mwdjb68x0lh19qd1k9gjjo3oo711qkoz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goroditsk.tularegion.ru/upload/resize_cache/iblock/6b0/10000_615_1/mwdjb68x0lh19qd1k9gjjo3oo711qkoz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222223"/>
          <w:sz w:val="14"/>
          <w:szCs w:val="14"/>
          <w:lang w:eastAsia="ru-RU"/>
        </w:rPr>
      </w:pPr>
      <w:r w:rsidRPr="00CF2C2A">
        <w:rPr>
          <w:rFonts w:ascii="Helvetica" w:eastAsia="Times New Roman" w:hAnsi="Helvetica"/>
          <w:color w:val="222223"/>
          <w:sz w:val="14"/>
          <w:szCs w:val="14"/>
          <w:lang w:eastAsia="ru-RU"/>
        </w:rPr>
        <w:t>Выступление Председателя КСП МО Богородицкий район на публичных слушаниях 17.05.2023 "О заключении Контрольно-счетной палаты муниципального образования Богородицкий район на годовой отчет об исполнении бюджета муниципального образования Богородицкий район</w:t>
      </w:r>
    </w:p>
    <w:p w:rsidR="00CF2C2A" w:rsidRPr="00CF2C2A" w:rsidRDefault="00CF2C2A" w:rsidP="00CF2C2A">
      <w:pPr>
        <w:shd w:val="clear" w:color="auto" w:fill="FFFFFF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proofErr w:type="spellStart"/>
      <w:r w:rsidRPr="00CF2C2A">
        <w:rPr>
          <w:rFonts w:ascii="Helvetica" w:eastAsia="Times New Roman" w:hAnsi="Helvetica"/>
          <w:color w:val="333333"/>
          <w:sz w:val="13"/>
          <w:szCs w:val="13"/>
          <w:lang w:eastAsia="ru-RU"/>
        </w:rPr>
        <w:t>Next</w:t>
      </w:r>
      <w:proofErr w:type="spellEnd"/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791845" cy="1054100"/>
            <wp:effectExtent l="19050" t="0" r="8255" b="0"/>
            <wp:docPr id="3" name="Рисунок 3" descr="https://bogoroditsk.tularegion.ru/upload/resize_cache/iblock/129/3000_111_1/fk8h3k64mzwponmvjwc0poaeti02b0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goroditsk.tularegion.ru/upload/resize_cache/iblock/129/3000_111_1/fk8h3k64mzwponmvjwc0poaeti02b0um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A" w:rsidRPr="00CF2C2A" w:rsidRDefault="00CF2C2A" w:rsidP="00CF2C2A">
      <w:pPr>
        <w:shd w:val="clear" w:color="auto" w:fill="FFFFFF"/>
        <w:jc w:val="center"/>
        <w:textAlignment w:val="center"/>
        <w:rPr>
          <w:rFonts w:ascii="Helvetica" w:eastAsia="Times New Roman" w:hAnsi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791845" cy="1054100"/>
            <wp:effectExtent l="19050" t="0" r="8255" b="0"/>
            <wp:docPr id="4" name="Рисунок 4" descr="https://bogoroditsk.tularegion.ru/upload/resize_cache/iblock/6b0/3000_111_1/mwdjb68x0lh19qd1k9gjjo3oo711qkoz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goroditsk.tularegion.ru/upload/resize_cache/iblock/6b0/3000_111_1/mwdjb68x0lh19qd1k9gjjo3oo711qkoz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Выступление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Председателя Контрольно-счетной палаты муниципального образования Богородицкий район на публичных слушаниях 17 мая 2023 года «О заключении Контрольно-счетной палаты муниципального образования Богородицкий район на годовой отчет об исполнении бюджета муниципального образования Богородицкий район за 2022 год»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 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center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lastRenderedPageBreak/>
        <w:t>Уважаемые участники публичных слушаний! 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    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Годовой отчет об исполнении бюджета района за 2022 год представлен администрацией района в контрольно-счетную палату в срок, установленный Положением о бюджетном процессе в муниципальном образовании Богородицкий район - не позднее 1 апреля текущего года.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Согласно Годовому отчету основные характеристики исполнения бюджета района за 2022 год составили: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по доходам </w:t>
      </w: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– 2,246 млрд. руб.</w:t>
      </w: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 или 98,9% от утвержденных показателей- 2, 270 млрд. руб. (к уровню 2021 года объем доходов увеличился на 13,94%);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по расходам- </w:t>
      </w: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2, 232 млрд. руб.</w:t>
      </w: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 или 97,9 % от утвержденных показателей – 2, 280 млрд. руб</w:t>
      </w:r>
      <w:proofErr w:type="gramStart"/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.(</w:t>
      </w:r>
      <w:proofErr w:type="gramEnd"/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 xml:space="preserve"> к уровню 2021 года объем расходов увеличился на 88,4%);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 xml:space="preserve">- бюджет района исполнен с превышением доходов над расходами, </w:t>
      </w:r>
      <w:proofErr w:type="spellStart"/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профицит</w:t>
      </w:r>
      <w:proofErr w:type="spellEnd"/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 xml:space="preserve"> составил -</w:t>
      </w: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14,3 млн. руб</w:t>
      </w: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. (за аналогичный период прошлого года бюджет района исполнен с дефицитом в сумме – 11,6 млн. руб.).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Показатели Годового отчета об исполнении бюджета района соответствуют данным отчета Управления Федерального казначейства Тульской области по поступлениям и выбытиям.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По состоянию на 01.01.2023 муниципальный долг района составил- 35,0 млн. руб. (бюджетный кредит).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Долговые обязательства по состоянию на 01.01.2023 года уменьшились на 9,1 млн. руб. (на 01.01.2022 муниципальный долг составлял- 44,1 млн. руб. с учетом процентов).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В 2022 году расходы бюджета района на облуживание долговых обязательств не превысили объем установленный ст. 111 Бюджетного кодекса Российской Федерации.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Размер муниципального долга сложившийся в ходе исполнения бюджета соответствует ст.107 Бюджетного кодекса Российской Федерации, то есть не превышает объем утвержденный на 2022 год.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Остатки средств на едином счете бюджета поселения за 2022 год увеличились на 6, 3 млн. руб. (на 01.01.2022- 27,9 млн. руб., на 01.01.2023-34 ,2 млн. руб.).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В 2022 году основными источниками, формирующими: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- налоговые и не налоговые доходы бюджета района, которые составили-400,9 млн. руб. являлись: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налог на доходы физических лиц -150,7 млн. руб. или 37,6 % от общей суммы фактического исполнения;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налоги на товары (работы, услуги), реализуемые на территории Российской Федерации - 65,9 млн. руб. или 16,4 % от общей суммы фактического исполнения;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налоги на совокупный доход -98, 8 млн. руб. или 24,6 % от общей суммы фактического исполнения;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доходы от оказания платных услуг (работ) и компенсация затрат государства – 25, 0 млн. руб. или 6,2 % от общей суммы фактического исполнения.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 </w:t>
      </w: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безвозмездные поступления, которые составили – 1 845,1 млн. руб. являлись: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субсидии- 813,2 млн. руб. или 44,1% от общей суммы фактического исполнения;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субвенции – 520,2 млн. руб. или 28,2 % от общей суммы фактического исполнения;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иные межбюджетные трансферты- 401,9 млн. руб. или 21,8 % от общей суммы фактического исполнения.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В общем объеме расходов наибольшая доля приходится на расходы по следующим разделам: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«Образование» - 818,2 млн. руб. или 36,7% от общей суммы расходов;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«Жилищно-коммунальное хозяйство»- 1 156,1 млн. руб. или 51,8 %.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Объем неисполненных назначений за 2022 год составил- 47, 9 млн. руб. или 2,1% от всех расходов бюджета района.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Муниципальным образованием Богородицкий район на 2022 год в рамках 15-ти муниципальных программ было выделено- 2 204,0 млн. руб., кассовые расходы составили - 2 159,2 млн. руб. или 98,0% от плановых уточненных назначений.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Доля программных расходов составляет -96,7 % от кассовых расходов бюджета района за 2022 год, наибольшая доля приходится на муниципальные программы: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-"Обеспечение качественным жильем и услугами ЖКХ населения Богородицкого района» - 1 147,3 млн. руб.;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-"Развитие образования"- 796,0 млн. руб.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Решением Собрания представителей от 22.12.2021 № 41-287 «О бюджете муниципального образования   Богородицкий район на 2022 и на плановый период 2023 и 2024 годов» определены шесть главных распорядителей бюджетных средств: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-850 - Финансовое управление администрации муниципального образования Богородицкий район;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-851 - Собрание представителей муниципального образования Богородицкий район;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-852 – Администрация муниципального образования Богородицкий район;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-853- Комитет по образованию администрации муниципального образования Богородицкий район;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lastRenderedPageBreak/>
        <w:t>-854- Контрольно-счетная палата муниципального образования Богородицкий район;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-860- Комитет имущественных и земельных отношений.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b/>
          <w:bCs/>
          <w:color w:val="333333"/>
          <w:sz w:val="15"/>
          <w:szCs w:val="15"/>
          <w:lang w:eastAsia="ru-RU"/>
        </w:rPr>
        <w:t>В 2022 году наибольший объем средств бюджета района находился в распоряжении: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Администрации муниципального образования Богородицкий район - 1 357 ,2 млн. руб. или 60,8% от общей суммы исполненных назначений;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- Комитета по образованию администрации муниципального образования Богородицкий район -796,6 млн. руб. или 35,7% от общей суммы исполненных назначений.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Исходя из результатов анализа годового отчета об исполнении бюджета района за 2022 год и материалов контрольных мероприятий, контрольно-счетная плата в основном подтверждает соответствие годовой отчетности требованиям Бюджетного кодекса и достоверность параметров годового отчета об исполнении бюджета района за 2022 год.</w:t>
      </w:r>
    </w:p>
    <w:p w:rsidR="00CF2C2A" w:rsidRPr="00CF2C2A" w:rsidRDefault="00CF2C2A" w:rsidP="00CF2C2A">
      <w:pPr>
        <w:shd w:val="clear" w:color="auto" w:fill="FFFFFF"/>
        <w:spacing w:after="92" w:line="220" w:lineRule="atLeast"/>
        <w:jc w:val="both"/>
        <w:rPr>
          <w:rFonts w:ascii="Helvetica" w:eastAsia="Times New Roman" w:hAnsi="Helvetica"/>
          <w:color w:val="333333"/>
          <w:sz w:val="15"/>
          <w:szCs w:val="15"/>
          <w:lang w:eastAsia="ru-RU"/>
        </w:rPr>
      </w:pPr>
      <w:r w:rsidRPr="00CF2C2A">
        <w:rPr>
          <w:rFonts w:ascii="Helvetica" w:eastAsia="Times New Roman" w:hAnsi="Helvetica"/>
          <w:color w:val="333333"/>
          <w:sz w:val="15"/>
          <w:szCs w:val="15"/>
          <w:lang w:eastAsia="ru-RU"/>
        </w:rPr>
        <w:t>Спасибо за внимание.</w:t>
      </w:r>
    </w:p>
    <w:p w:rsidR="00D075AA" w:rsidRDefault="00D075AA" w:rsidP="00D075AA">
      <w:pPr>
        <w:ind w:firstLine="709"/>
        <w:jc w:val="right"/>
        <w:rPr>
          <w:rFonts w:ascii="PT Astra Serif" w:hAnsi="PT Astra Serif"/>
          <w:b/>
          <w:szCs w:val="28"/>
        </w:rPr>
      </w:pPr>
    </w:p>
    <w:sectPr w:rsidR="00D075AA" w:rsidSect="00B316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083"/>
    <w:multiLevelType w:val="hybridMultilevel"/>
    <w:tmpl w:val="5646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31654"/>
    <w:rsid w:val="00171DD1"/>
    <w:rsid w:val="00192191"/>
    <w:rsid w:val="001C2499"/>
    <w:rsid w:val="001D22CA"/>
    <w:rsid w:val="00325F9D"/>
    <w:rsid w:val="0043131A"/>
    <w:rsid w:val="004C5BCB"/>
    <w:rsid w:val="004E1F68"/>
    <w:rsid w:val="00763E7E"/>
    <w:rsid w:val="00862226"/>
    <w:rsid w:val="00B31654"/>
    <w:rsid w:val="00BA622F"/>
    <w:rsid w:val="00BC6DD2"/>
    <w:rsid w:val="00CF2C2A"/>
    <w:rsid w:val="00D075AA"/>
    <w:rsid w:val="00E9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C249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65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B31654"/>
    <w:rPr>
      <w:rFonts w:ascii="Calibri" w:eastAsiaTheme="minorHAnsi" w:hAnsi="Calibri" w:cstheme="minorBid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B31654"/>
    <w:rPr>
      <w:rFonts w:ascii="Calibri" w:hAnsi="Calibri"/>
      <w:szCs w:val="21"/>
    </w:rPr>
  </w:style>
  <w:style w:type="paragraph" w:styleId="a8">
    <w:name w:val="Normal (Web)"/>
    <w:basedOn w:val="a"/>
    <w:uiPriority w:val="99"/>
    <w:unhideWhenUsed/>
    <w:rsid w:val="00E94A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C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503">
          <w:marLeft w:val="707"/>
          <w:marRight w:val="707"/>
          <w:marTop w:val="0"/>
          <w:marBottom w:val="183"/>
          <w:divBdr>
            <w:top w:val="single" w:sz="6" w:space="0" w:color="D9E1E2"/>
            <w:left w:val="single" w:sz="6" w:space="0" w:color="D9E1E2"/>
            <w:bottom w:val="single" w:sz="6" w:space="0" w:color="D9E1E2"/>
            <w:right w:val="single" w:sz="6" w:space="0" w:color="D9E1E2"/>
          </w:divBdr>
          <w:divsChild>
            <w:div w:id="15441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Admin</cp:lastModifiedBy>
  <cp:revision>2</cp:revision>
  <cp:lastPrinted>2020-02-06T13:10:00Z</cp:lastPrinted>
  <dcterms:created xsi:type="dcterms:W3CDTF">2024-08-14T14:00:00Z</dcterms:created>
  <dcterms:modified xsi:type="dcterms:W3CDTF">2024-08-14T14:00:00Z</dcterms:modified>
</cp:coreProperties>
</file>