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РОССИЙСКАЯ ФЕДЕРАЦИЯ</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ФЕДЕРАЛЬНЫЙ ЗАКОН</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ОБ ОБЕСПЕЧЕНИИ ДОСТУПА К ИНФОРМАЦИИ</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 ДЕЯТЕЛЬНОСТИ ГОСУДАРСТВЕННЫХ ОРГАНОВ И ОРГАНОВ</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МЕСТНОГО САМОУПРАВЛЕНИЯ</w:t>
      </w:r>
    </w:p>
    <w:p w:rsidR="008B6326" w:rsidRPr="008B6326" w:rsidRDefault="008B6326" w:rsidP="008B6326">
      <w:pPr>
        <w:widowControl w:val="0"/>
        <w:autoSpaceDE w:val="0"/>
        <w:autoSpaceDN w:val="0"/>
        <w:spacing w:line="280" w:lineRule="exact"/>
        <w:ind w:firstLine="540"/>
        <w:jc w:val="both"/>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Принят</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Государственной Думой</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21 января 2009 года</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Одобрен</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Советом Федерации</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28 января 2009 года</w:t>
      </w:r>
    </w:p>
    <w:p w:rsidR="008B6326" w:rsidRPr="00236519" w:rsidRDefault="00236519"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 </w:t>
      </w:r>
      <w:r w:rsidR="008B6326" w:rsidRPr="00236519">
        <w:rPr>
          <w:rFonts w:ascii="PT Astra Serif" w:eastAsia="Times New Roman" w:hAnsi="PT Astra Serif" w:cs="Times New Roman"/>
          <w:i/>
          <w:color w:val="0D0D0D" w:themeColor="text1" w:themeTint="F2"/>
          <w:sz w:val="24"/>
          <w:szCs w:val="24"/>
          <w:lang w:eastAsia="ru-RU"/>
        </w:rPr>
        <w:t>(в ред</w:t>
      </w:r>
      <w:r w:rsidRPr="00236519">
        <w:rPr>
          <w:rFonts w:ascii="PT Astra Serif" w:eastAsia="Times New Roman" w:hAnsi="PT Astra Serif" w:cs="Times New Roman"/>
          <w:i/>
          <w:color w:val="0D0D0D" w:themeColor="text1" w:themeTint="F2"/>
          <w:sz w:val="24"/>
          <w:szCs w:val="24"/>
          <w:lang w:eastAsia="ru-RU"/>
        </w:rPr>
        <w:t>акции</w:t>
      </w:r>
      <w:r w:rsidR="008B6326" w:rsidRPr="00236519">
        <w:rPr>
          <w:rFonts w:ascii="PT Astra Serif" w:eastAsia="Times New Roman" w:hAnsi="PT Astra Serif" w:cs="Times New Roman"/>
          <w:i/>
          <w:color w:val="0D0D0D" w:themeColor="text1" w:themeTint="F2"/>
          <w:sz w:val="24"/>
          <w:szCs w:val="24"/>
          <w:lang w:eastAsia="ru-RU"/>
        </w:rPr>
        <w:t xml:space="preserve"> Федеральных законов от 11.07.2011 № 200-ФЗ,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07.06.2013 № 112-ФЗ, от 21.12.2013 № 366-ФЗ,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28.12.2013 № 396-ФЗ, от 04.11.2014 № 331-ФЗ,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01.12.2014 № 419-ФЗ, от 28.11.2015 № 357-ФЗ,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от 09.03.2016 № 66-ФЗ, от 28.12.2017 № 423-ФЗ, </w:t>
      </w:r>
    </w:p>
    <w:p w:rsidR="008B6326" w:rsidRPr="00236519" w:rsidRDefault="008B6326" w:rsidP="008B6326">
      <w:pPr>
        <w:autoSpaceDE w:val="0"/>
        <w:autoSpaceDN w:val="0"/>
        <w:adjustRightInd w:val="0"/>
        <w:spacing w:line="280" w:lineRule="exact"/>
        <w:rPr>
          <w:rFonts w:ascii="PT Astra Serif" w:hAnsi="PT Astra Serif" w:cs="Times New Roman"/>
          <w:i/>
          <w:color w:val="0D0D0D" w:themeColor="text1" w:themeTint="F2"/>
          <w:sz w:val="24"/>
          <w:szCs w:val="24"/>
        </w:rPr>
      </w:pPr>
      <w:r w:rsidRPr="00236519">
        <w:rPr>
          <w:rFonts w:ascii="PT Astra Serif" w:hAnsi="PT Astra Serif" w:cs="Times New Roman"/>
          <w:i/>
          <w:color w:val="0D0D0D" w:themeColor="text1" w:themeTint="F2"/>
          <w:sz w:val="24"/>
          <w:szCs w:val="24"/>
        </w:rPr>
        <w:t xml:space="preserve">от 08.12.2020 N 429-ФЗ, от 30.04.2021 N 117-ФЗ, </w:t>
      </w:r>
    </w:p>
    <w:p w:rsidR="008B6326" w:rsidRPr="00236519" w:rsidRDefault="008B6326" w:rsidP="008B6326">
      <w:pPr>
        <w:autoSpaceDE w:val="0"/>
        <w:autoSpaceDN w:val="0"/>
        <w:adjustRightInd w:val="0"/>
        <w:spacing w:line="280" w:lineRule="exact"/>
        <w:rPr>
          <w:rFonts w:ascii="PT Astra Serif" w:hAnsi="PT Astra Serif"/>
          <w:i/>
          <w:color w:val="0D0D0D" w:themeColor="text1" w:themeTint="F2"/>
          <w:sz w:val="24"/>
          <w:szCs w:val="24"/>
        </w:rPr>
      </w:pPr>
      <w:r w:rsidRPr="00236519">
        <w:rPr>
          <w:rFonts w:ascii="PT Astra Serif" w:hAnsi="PT Astra Serif" w:cs="Times New Roman"/>
          <w:i/>
          <w:color w:val="0D0D0D" w:themeColor="text1" w:themeTint="F2"/>
          <w:sz w:val="24"/>
          <w:szCs w:val="24"/>
        </w:rPr>
        <w:t>от 14.07.2022 N 270-ФЗ)</w:t>
      </w: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spacing w:after="1" w:line="280" w:lineRule="exact"/>
        <w:jc w:val="both"/>
        <w:rPr>
          <w:rFonts w:ascii="PT Astra Serif" w:hAnsi="PT Astra Serif"/>
          <w:color w:val="0D0D0D" w:themeColor="text1" w:themeTint="F2"/>
          <w:sz w:val="24"/>
          <w:szCs w:val="24"/>
        </w:rPr>
      </w:pPr>
    </w:p>
    <w:p w:rsidR="008B6326" w:rsidRPr="008B6326" w:rsidRDefault="008B6326" w:rsidP="008B6326">
      <w:pPr>
        <w:spacing w:after="1" w:line="28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1. ОБЩИЕ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 Основные понятия, используемые в настоящем Федеральном законе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Для целей настоящего Федерального закона используются следующие основные понятия: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 Сфера действия настоящего Федерального закона</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Действие настоящего Федерального закона не распространяется 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рассмотрения государственными органами и органами местного самоуправления обращений граждан;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3</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4.</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Основные принципы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5.</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Информация о деятельности государственных органов и органов местного самоуправления, доступ к которой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6. Способы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статьей 13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7. Форма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8. Права пользователя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Пользователь информацией имеет право:</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получать достоверную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отказаться от получения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p>
    <w:p w:rsidR="008B6326" w:rsidRPr="008B6326" w:rsidRDefault="008B6326" w:rsidP="008B6326">
      <w:pPr>
        <w:spacing w:after="1"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2. ОРГАНИЗАЦИЯ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ОСНОВНЫЕ ТРЕБОВАНИЯ ПРИ ОБЕСПЕЧЕНИИ ДОСТУПА</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К ЭТОЙ ИНФОРМАЦИИ</w:t>
      </w:r>
    </w:p>
    <w:p w:rsidR="008B6326" w:rsidRPr="008B6326" w:rsidRDefault="008B6326" w:rsidP="008B6326">
      <w:pPr>
        <w:spacing w:after="1" w:line="240" w:lineRule="exact"/>
        <w:ind w:firstLine="709"/>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9. Организация доступа к информации о деятельности государственных органов и органов местного</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0" w:name="P118"/>
      <w:bookmarkEnd w:id="0"/>
      <w:r w:rsidRPr="008B6326">
        <w:rPr>
          <w:rFonts w:ascii="PT Astra Serif" w:hAnsi="PT Astra Serif"/>
          <w:color w:val="0D0D0D" w:themeColor="text1" w:themeTint="F2"/>
          <w:sz w:val="24"/>
          <w:szCs w:val="24"/>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1" w:name="P120"/>
      <w:bookmarkEnd w:id="1"/>
      <w:r w:rsidRPr="008B6326">
        <w:rPr>
          <w:rFonts w:ascii="PT Astra Serif" w:hAnsi="PT Astra Serif"/>
          <w:color w:val="0D0D0D" w:themeColor="text1" w:themeTint="F2"/>
          <w:sz w:val="24"/>
          <w:szCs w:val="24"/>
        </w:rP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целях обеспечения права неограниченного круга лиц на доступ к информации, указанной в частях 1 и 1.1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В целях обеспечения права пользователей информацией на доступ к информации, указанной в частях 1 и 1.1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достоверность предоставляемой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соблюдение сроков и порядка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3. ПРЕДОСТАВЛЕНИЕ ИНФОРМАЦИИ О ДЕЯТЕЛЬНОСТИ</w:t>
      </w:r>
    </w:p>
    <w:p w:rsidR="008B6326" w:rsidRPr="008B6326" w:rsidRDefault="008B6326" w:rsidP="008B6326">
      <w:pPr>
        <w:spacing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ГОСУДАРСТВЕННЫХ ОРГАНОВ И ОРГАНОВ МЕСТНОГО САМОУПРАВЛЕНИЯ</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12. Обнародование (опубликование)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2" w:name="P153"/>
      <w:bookmarkEnd w:id="2"/>
      <w:r w:rsidRPr="008B6326">
        <w:rPr>
          <w:rFonts w:ascii="PT Astra Serif" w:hAnsi="PT Astra Serif"/>
          <w:color w:val="0D0D0D" w:themeColor="text1" w:themeTint="F2"/>
          <w:sz w:val="24"/>
          <w:szCs w:val="24"/>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3" w:name="P154"/>
      <w:bookmarkEnd w:id="3"/>
      <w:r w:rsidRPr="008B6326">
        <w:rPr>
          <w:rFonts w:ascii="PT Astra Serif" w:hAnsi="PT Astra Serif"/>
          <w:color w:val="0D0D0D" w:themeColor="text1" w:themeTint="F2"/>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13. Информация о деятельности государственных органов и органов местного самоуправления, размещаемая в сети «Интернет»</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4" w:name="P159"/>
      <w:bookmarkEnd w:id="4"/>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государственном органе, об органе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ж) сведения о средствах массовой информации, учрежденных государственным органом, органом местного самоуправления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информацию о нормотворческой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административные регламенты, стандарты государственных и муниципальных услуг;</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статистическую информацию о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информацию о кадровом обеспечении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порядок поступления граждан на государственную службу, муниципальную службу;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5" w:name="P195"/>
      <w:bookmarkEnd w:id="5"/>
      <w:r w:rsidRPr="008B6326">
        <w:rPr>
          <w:rFonts w:ascii="PT Astra Serif" w:hAnsi="PT Astra Serif"/>
          <w:color w:val="0D0D0D" w:themeColor="text1" w:themeTint="F2"/>
          <w:sz w:val="24"/>
          <w:szCs w:val="24"/>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условия и результаты конкурсов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6" w:name="P198"/>
      <w:bookmarkEnd w:id="6"/>
      <w:r w:rsidRPr="008B6326">
        <w:rPr>
          <w:rFonts w:ascii="PT Astra Serif" w:hAnsi="PT Astra Serif"/>
          <w:color w:val="0D0D0D" w:themeColor="text1" w:themeTint="F2"/>
          <w:sz w:val="24"/>
          <w:szCs w:val="24"/>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7" w:name="P202"/>
      <w:bookmarkEnd w:id="7"/>
      <w:r w:rsidRPr="008B6326">
        <w:rPr>
          <w:rFonts w:ascii="PT Astra Serif" w:hAnsi="PT Astra Serif"/>
          <w:color w:val="0D0D0D" w:themeColor="text1" w:themeTint="F2"/>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подведомственной организации,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2.1.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14. Перечни информации о деятельности государственных органов, органов местного самоуправления, размещаемой на официальных сайтах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8" w:name="P228"/>
      <w:bookmarkEnd w:id="8"/>
      <w:r w:rsidRPr="008B6326">
        <w:rPr>
          <w:rFonts w:ascii="PT Astra Serif" w:hAnsi="PT Astra Serif"/>
          <w:color w:val="0D0D0D" w:themeColor="text1" w:themeTint="F2"/>
          <w:sz w:val="24"/>
          <w:szCs w:val="24"/>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9" w:name="P232"/>
      <w:bookmarkEnd w:id="9"/>
      <w:r w:rsidRPr="008B6326">
        <w:rPr>
          <w:rFonts w:ascii="PT Astra Serif" w:hAnsi="PT Astra Serif"/>
          <w:color w:val="0D0D0D" w:themeColor="text1" w:themeTint="F2"/>
          <w:sz w:val="24"/>
          <w:szCs w:val="24"/>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0" w:name="P234"/>
      <w:bookmarkEnd w:id="10"/>
      <w:r w:rsidRPr="008B6326">
        <w:rPr>
          <w:rFonts w:ascii="PT Astra Serif" w:hAnsi="PT Astra Serif"/>
          <w:color w:val="0D0D0D" w:themeColor="text1" w:themeTint="F2"/>
          <w:sz w:val="24"/>
          <w:szCs w:val="24"/>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1" w:name="P237"/>
      <w:bookmarkEnd w:id="11"/>
      <w:r w:rsidRPr="008B6326">
        <w:rPr>
          <w:rFonts w:ascii="PT Astra Serif" w:hAnsi="PT Astra Serif"/>
          <w:color w:val="0D0D0D" w:themeColor="text1" w:themeTint="F2"/>
          <w:sz w:val="24"/>
          <w:szCs w:val="24"/>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2" w:name="P238"/>
      <w:bookmarkEnd w:id="12"/>
      <w:r w:rsidRPr="008B6326">
        <w:rPr>
          <w:rFonts w:ascii="PT Astra Serif" w:hAnsi="PT Astra Serif"/>
          <w:color w:val="0D0D0D" w:themeColor="text1" w:themeTint="F2"/>
          <w:sz w:val="24"/>
          <w:szCs w:val="24"/>
        </w:rPr>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3" w:name="P240"/>
      <w:bookmarkEnd w:id="13"/>
      <w:r w:rsidRPr="008B6326">
        <w:rPr>
          <w:rFonts w:ascii="PT Astra Serif" w:hAnsi="PT Astra Serif"/>
          <w:color w:val="0D0D0D" w:themeColor="text1" w:themeTint="F2"/>
          <w:sz w:val="24"/>
          <w:szCs w:val="24"/>
        </w:rP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частях 1 - 3, </w:t>
      </w:r>
      <w:hyperlink w:anchor="P234">
        <w:r w:rsidRPr="008B6326">
          <w:rPr>
            <w:rFonts w:ascii="PT Astra Serif" w:hAnsi="PT Astra Serif"/>
            <w:color w:val="0D0D0D" w:themeColor="text1" w:themeTint="F2"/>
            <w:sz w:val="24"/>
            <w:szCs w:val="24"/>
          </w:rPr>
          <w:t>5</w:t>
        </w:r>
      </w:hyperlink>
      <w:r w:rsidRPr="008B6326">
        <w:rPr>
          <w:rFonts w:ascii="PT Astra Serif" w:hAnsi="PT Astra Serif"/>
          <w:color w:val="0D0D0D" w:themeColor="text1" w:themeTint="F2"/>
          <w:sz w:val="24"/>
          <w:szCs w:val="24"/>
        </w:rPr>
        <w:t xml:space="preserve"> - </w:t>
      </w:r>
      <w:hyperlink w:anchor="P237">
        <w:r w:rsidRPr="008B6326">
          <w:rPr>
            <w:rFonts w:ascii="PT Astra Serif" w:hAnsi="PT Astra Serif"/>
            <w:color w:val="0D0D0D" w:themeColor="text1" w:themeTint="F2"/>
            <w:sz w:val="24"/>
            <w:szCs w:val="24"/>
          </w:rPr>
          <w:t>7</w:t>
        </w:r>
      </w:hyperlink>
      <w:r w:rsidRPr="008B6326">
        <w:rPr>
          <w:rFonts w:ascii="PT Astra Serif" w:hAnsi="PT Astra Serif"/>
          <w:color w:val="0D0D0D" w:themeColor="text1" w:themeTint="F2"/>
          <w:sz w:val="24"/>
          <w:szCs w:val="24"/>
        </w:rPr>
        <w:t>, 7.2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4" w:name="P253"/>
      <w:bookmarkEnd w:id="14"/>
      <w:r w:rsidRPr="008B6326">
        <w:rPr>
          <w:rFonts w:ascii="PT Astra Serif" w:hAnsi="PT Astra Serif"/>
          <w:color w:val="0D0D0D" w:themeColor="text1" w:themeTint="F2"/>
          <w:sz w:val="24"/>
          <w:szCs w:val="24"/>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Информация, указанная в части 1 настоящей статьи, должна содержать: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условия и порядок получения информации от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18. Запрос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19. Порядок предоставления информации о деятельности государственных органов и органов местного самоуправления по запросу</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Ответ на запрос подлежит обязательной регистрации государственным органом, органом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не предоставляется в случае, если: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запрашиваемая информация относится к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запрашиваемая информация ранее предоставлялась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21. Информация о деятельности государственных органов и органов местного самоуправления, предоставляемая на бесплатной основе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передаваемая в устной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22. Плата за предоставление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5" w:name="P312"/>
      <w:bookmarkEnd w:id="15"/>
      <w:r w:rsidRPr="008B6326">
        <w:rPr>
          <w:rFonts w:ascii="PT Astra Serif" w:hAnsi="PT Astra Serif"/>
          <w:color w:val="0D0D0D" w:themeColor="text1" w:themeTint="F2"/>
          <w:sz w:val="24"/>
          <w:szCs w:val="24"/>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4. ОТВЕТСТВЕННОСТЬ ЗА НАРУШЕНИЕ ПОРЯДКА</w:t>
      </w:r>
    </w:p>
    <w:p w:rsidR="008B6326" w:rsidRPr="008B6326" w:rsidRDefault="008B6326" w:rsidP="008B6326">
      <w:pPr>
        <w:spacing w:after="1" w:line="28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23. Защита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5. ЗАКЛЮЧИТЕЛЬНЫЕ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26. Вступление в силу настоящего Федерального закона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Настоящий Федеральный закон вступает в силу с 1 января 2010 года.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Президент</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Российской Федерации</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Д.МЕДВЕДЕВ</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Москва, Кремль</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февраля 2009 года</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N 8-ФЗ</w:t>
      </w:r>
    </w:p>
    <w:p w:rsidR="008B6326" w:rsidRPr="008B6326" w:rsidRDefault="008B6326" w:rsidP="008B6326">
      <w:pPr>
        <w:spacing w:after="1" w:line="280" w:lineRule="exact"/>
        <w:rPr>
          <w:rFonts w:ascii="PT Astra Serif" w:hAnsi="PT Astra Serif"/>
          <w:color w:val="0D0D0D" w:themeColor="text1" w:themeTint="F2"/>
          <w:sz w:val="24"/>
          <w:szCs w:val="24"/>
        </w:rPr>
      </w:pPr>
    </w:p>
    <w:p w:rsidR="008B6326" w:rsidRPr="008B6326" w:rsidRDefault="008B6326" w:rsidP="008B6326">
      <w:pPr>
        <w:spacing w:line="280" w:lineRule="exact"/>
        <w:rPr>
          <w:rFonts w:ascii="PT Astra Serif" w:hAnsi="PT Astra Serif"/>
          <w:sz w:val="24"/>
          <w:szCs w:val="24"/>
        </w:rPr>
      </w:pPr>
    </w:p>
    <w:p w:rsidR="0056594A" w:rsidRDefault="0056594A" w:rsidP="0056594A">
      <w:pPr>
        <w:ind w:firstLine="709"/>
        <w:contextualSpacing/>
        <w:jc w:val="both"/>
        <w:rPr>
          <w:rFonts w:ascii="PT Astra Serif" w:eastAsia="Calibri" w:hAnsi="PT Astra Serif"/>
          <w:b/>
          <w:szCs w:val="28"/>
        </w:rPr>
      </w:pPr>
    </w:p>
    <w:sectPr w:rsidR="0056594A" w:rsidSect="008B6326">
      <w:headerReference w:type="default" r:id="rId8"/>
      <w:pgSz w:w="11906" w:h="16838"/>
      <w:pgMar w:top="1134" w:right="850" w:bottom="1134" w:left="1276"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3534" w:rsidRDefault="00143534" w:rsidP="008B6326">
      <w:r>
        <w:separator/>
      </w:r>
    </w:p>
  </w:endnote>
  <w:endnote w:type="continuationSeparator" w:id="0">
    <w:p w:rsidR="00143534" w:rsidRDefault="00143534" w:rsidP="008B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3534" w:rsidRDefault="00143534" w:rsidP="008B6326">
      <w:r>
        <w:separator/>
      </w:r>
    </w:p>
  </w:footnote>
  <w:footnote w:type="continuationSeparator" w:id="0">
    <w:p w:rsidR="00143534" w:rsidRDefault="00143534" w:rsidP="008B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1817"/>
      <w:docPartObj>
        <w:docPartGallery w:val="Page Numbers (Top of Page)"/>
        <w:docPartUnique/>
      </w:docPartObj>
    </w:sdtPr>
    <w:sdtEndPr/>
    <w:sdtContent>
      <w:p w:rsidR="008B6326" w:rsidRDefault="008B6326">
        <w:pPr>
          <w:pStyle w:val="a7"/>
        </w:pPr>
        <w:r>
          <w:fldChar w:fldCharType="begin"/>
        </w:r>
        <w:r>
          <w:instrText>PAGE   \* MERGEFORMAT</w:instrText>
        </w:r>
        <w:r>
          <w:fldChar w:fldCharType="separate"/>
        </w:r>
        <w:r w:rsidR="00BC7BAE">
          <w:rPr>
            <w:noProof/>
          </w:rPr>
          <w:t>3</w:t>
        </w:r>
        <w:r>
          <w:fldChar w:fldCharType="end"/>
        </w:r>
      </w:p>
    </w:sdtContent>
  </w:sdt>
  <w:p w:rsidR="008B6326" w:rsidRDefault="008B632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D40A2"/>
    <w:multiLevelType w:val="hybridMultilevel"/>
    <w:tmpl w:val="36F6C3E8"/>
    <w:lvl w:ilvl="0" w:tplc="E11CA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F82641C"/>
    <w:multiLevelType w:val="multilevel"/>
    <w:tmpl w:val="0360EB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448"/>
    <w:rsid w:val="00013010"/>
    <w:rsid w:val="00026220"/>
    <w:rsid w:val="000A0DBD"/>
    <w:rsid w:val="000E5013"/>
    <w:rsid w:val="00143534"/>
    <w:rsid w:val="001765DE"/>
    <w:rsid w:val="001F4682"/>
    <w:rsid w:val="0020513D"/>
    <w:rsid w:val="002256DA"/>
    <w:rsid w:val="00236519"/>
    <w:rsid w:val="00264F7C"/>
    <w:rsid w:val="00330149"/>
    <w:rsid w:val="003728DC"/>
    <w:rsid w:val="003C3D7E"/>
    <w:rsid w:val="00410147"/>
    <w:rsid w:val="0042253A"/>
    <w:rsid w:val="0056594A"/>
    <w:rsid w:val="005925E0"/>
    <w:rsid w:val="005D4C10"/>
    <w:rsid w:val="006347D0"/>
    <w:rsid w:val="006F67A3"/>
    <w:rsid w:val="00742448"/>
    <w:rsid w:val="007659C2"/>
    <w:rsid w:val="00843D46"/>
    <w:rsid w:val="008A2C95"/>
    <w:rsid w:val="008A79CB"/>
    <w:rsid w:val="008B6326"/>
    <w:rsid w:val="008D3BB4"/>
    <w:rsid w:val="00900DFA"/>
    <w:rsid w:val="00A00591"/>
    <w:rsid w:val="00A21BBB"/>
    <w:rsid w:val="00AD6480"/>
    <w:rsid w:val="00BC7BAE"/>
    <w:rsid w:val="00C17E7A"/>
    <w:rsid w:val="00C97689"/>
    <w:rsid w:val="00CD643B"/>
    <w:rsid w:val="00CE0193"/>
    <w:rsid w:val="00CE5FC6"/>
    <w:rsid w:val="00CF693A"/>
    <w:rsid w:val="00DA55D6"/>
    <w:rsid w:val="00DA5B4E"/>
    <w:rsid w:val="00E705F5"/>
    <w:rsid w:val="00EF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EA05D-B31C-450E-AD78-CD46DF30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F7C"/>
    <w:pPr>
      <w:spacing w:after="0" w:line="240" w:lineRule="auto"/>
      <w:jc w:val="center"/>
    </w:pPr>
    <w:rPr>
      <w:rFonts w:ascii="Times New Roman" w:hAnsi="Times New Roman" w:cs="Courier New"/>
      <w:color w:val="000000"/>
      <w:sz w:val="28"/>
      <w:szCs w:val="2"/>
    </w:rPr>
  </w:style>
  <w:style w:type="paragraph" w:styleId="2">
    <w:name w:val="heading 2"/>
    <w:basedOn w:val="a"/>
    <w:link w:val="20"/>
    <w:uiPriority w:val="9"/>
    <w:qFormat/>
    <w:rsid w:val="00264F7C"/>
    <w:pPr>
      <w:spacing w:before="100" w:beforeAutospacing="1" w:after="100" w:afterAutospacing="1"/>
      <w:jc w:val="left"/>
      <w:outlineLvl w:val="1"/>
    </w:pPr>
    <w:rPr>
      <w:rFonts w:eastAsia="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F7C"/>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64F7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64F7C"/>
    <w:pPr>
      <w:spacing w:before="100" w:beforeAutospacing="1" w:after="100" w:afterAutospacing="1"/>
      <w:jc w:val="left"/>
    </w:pPr>
    <w:rPr>
      <w:rFonts w:eastAsia="Times New Roman" w:cs="Times New Roman"/>
      <w:color w:val="auto"/>
      <w:sz w:val="24"/>
      <w:szCs w:val="24"/>
      <w:lang w:eastAsia="ru-RU"/>
    </w:rPr>
  </w:style>
  <w:style w:type="character" w:styleId="a5">
    <w:name w:val="Hyperlink"/>
    <w:basedOn w:val="a0"/>
    <w:uiPriority w:val="99"/>
    <w:semiHidden/>
    <w:unhideWhenUsed/>
    <w:rsid w:val="00026220"/>
    <w:rPr>
      <w:color w:val="0000FF"/>
      <w:u w:val="single"/>
    </w:rPr>
  </w:style>
  <w:style w:type="table" w:customStyle="1" w:styleId="1">
    <w:name w:val="Сетка таблицы1"/>
    <w:basedOn w:val="a1"/>
    <w:next w:val="a3"/>
    <w:uiPriority w:val="39"/>
    <w:rsid w:val="00CE019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6347D0"/>
    <w:pPr>
      <w:spacing w:after="0" w:line="240" w:lineRule="auto"/>
      <w:jc w:val="center"/>
    </w:pPr>
    <w:rPr>
      <w:rFonts w:ascii="Times New Roman" w:eastAsia="Calibri"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728DC"/>
    <w:pPr>
      <w:ind w:left="720"/>
      <w:contextualSpacing/>
    </w:pPr>
  </w:style>
  <w:style w:type="table" w:customStyle="1" w:styleId="21">
    <w:name w:val="Сетка таблицы2"/>
    <w:basedOn w:val="a1"/>
    <w:next w:val="a3"/>
    <w:uiPriority w:val="39"/>
    <w:rsid w:val="008B632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6326"/>
    <w:pPr>
      <w:tabs>
        <w:tab w:val="center" w:pos="4677"/>
        <w:tab w:val="right" w:pos="9355"/>
      </w:tabs>
    </w:pPr>
  </w:style>
  <w:style w:type="character" w:customStyle="1" w:styleId="a8">
    <w:name w:val="Верхний колонтитул Знак"/>
    <w:basedOn w:val="a0"/>
    <w:link w:val="a7"/>
    <w:uiPriority w:val="99"/>
    <w:rsid w:val="008B6326"/>
    <w:rPr>
      <w:rFonts w:ascii="Times New Roman" w:hAnsi="Times New Roman" w:cs="Courier New"/>
      <w:color w:val="000000"/>
      <w:sz w:val="28"/>
      <w:szCs w:val="2"/>
    </w:rPr>
  </w:style>
  <w:style w:type="paragraph" w:styleId="a9">
    <w:name w:val="footer"/>
    <w:basedOn w:val="a"/>
    <w:link w:val="aa"/>
    <w:uiPriority w:val="99"/>
    <w:unhideWhenUsed/>
    <w:rsid w:val="008B6326"/>
    <w:pPr>
      <w:tabs>
        <w:tab w:val="center" w:pos="4677"/>
        <w:tab w:val="right" w:pos="9355"/>
      </w:tabs>
    </w:pPr>
  </w:style>
  <w:style w:type="character" w:customStyle="1" w:styleId="aa">
    <w:name w:val="Нижний колонтитул Знак"/>
    <w:basedOn w:val="a0"/>
    <w:link w:val="a9"/>
    <w:uiPriority w:val="99"/>
    <w:rsid w:val="008B6326"/>
    <w:rPr>
      <w:rFonts w:ascii="Times New Roman" w:hAnsi="Times New Roman" w:cs="Courier New"/>
      <w:color w:val="000000"/>
      <w:sz w:val="28"/>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9354">
      <w:bodyDiv w:val="1"/>
      <w:marLeft w:val="0"/>
      <w:marRight w:val="0"/>
      <w:marTop w:val="0"/>
      <w:marBottom w:val="0"/>
      <w:divBdr>
        <w:top w:val="none" w:sz="0" w:space="0" w:color="auto"/>
        <w:left w:val="none" w:sz="0" w:space="0" w:color="auto"/>
        <w:bottom w:val="none" w:sz="0" w:space="0" w:color="auto"/>
        <w:right w:val="none" w:sz="0" w:space="0" w:color="auto"/>
      </w:divBdr>
    </w:div>
    <w:div w:id="674958488">
      <w:bodyDiv w:val="1"/>
      <w:marLeft w:val="0"/>
      <w:marRight w:val="0"/>
      <w:marTop w:val="0"/>
      <w:marBottom w:val="0"/>
      <w:divBdr>
        <w:top w:val="none" w:sz="0" w:space="0" w:color="auto"/>
        <w:left w:val="none" w:sz="0" w:space="0" w:color="auto"/>
        <w:bottom w:val="none" w:sz="0" w:space="0" w:color="auto"/>
        <w:right w:val="none" w:sz="0" w:space="0" w:color="auto"/>
      </w:divBdr>
    </w:div>
    <w:div w:id="1630210585">
      <w:bodyDiv w:val="1"/>
      <w:marLeft w:val="0"/>
      <w:marRight w:val="0"/>
      <w:marTop w:val="0"/>
      <w:marBottom w:val="0"/>
      <w:divBdr>
        <w:top w:val="none" w:sz="0" w:space="0" w:color="auto"/>
        <w:left w:val="none" w:sz="0" w:space="0" w:color="auto"/>
        <w:bottom w:val="none" w:sz="0" w:space="0" w:color="auto"/>
        <w:right w:val="none" w:sz="0" w:space="0" w:color="auto"/>
      </w:divBdr>
      <w:divsChild>
        <w:div w:id="293684908">
          <w:marLeft w:val="0"/>
          <w:marRight w:val="0"/>
          <w:marTop w:val="100"/>
          <w:marBottom w:val="100"/>
          <w:divBdr>
            <w:top w:val="none" w:sz="0" w:space="0" w:color="auto"/>
            <w:left w:val="none" w:sz="0" w:space="0" w:color="auto"/>
            <w:bottom w:val="none" w:sz="0" w:space="0" w:color="auto"/>
            <w:right w:val="none" w:sz="0" w:space="0" w:color="auto"/>
          </w:divBdr>
        </w:div>
      </w:divsChild>
    </w:div>
    <w:div w:id="18168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D3AF-1DCC-49D5-BE0F-A1851691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8646</Words>
  <Characters>49287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Ивина Жанна Викторовна</dc:creator>
  <cp:keywords/>
  <dc:description/>
  <cp:lastModifiedBy>Пользователь</cp:lastModifiedBy>
  <cp:revision>2</cp:revision>
  <dcterms:created xsi:type="dcterms:W3CDTF">2024-04-05T13:39:00Z</dcterms:created>
  <dcterms:modified xsi:type="dcterms:W3CDTF">2024-04-05T13:39:00Z</dcterms:modified>
</cp:coreProperties>
</file>