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D7" w:rsidRDefault="00F253D7">
      <w:pPr>
        <w:jc w:val="both"/>
        <w:rPr>
          <w:rFonts w:ascii="Times New Roman" w:hAnsi="Times New Roman"/>
          <w:b/>
          <w:sz w:val="28"/>
          <w:szCs w:val="28"/>
        </w:rPr>
      </w:pPr>
    </w:p>
    <w:p w:rsidR="00F253D7" w:rsidRDefault="00F253D7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Pr="00856DCD" w:rsidRDefault="00856DCD" w:rsidP="00856DCD">
      <w:pPr>
        <w:ind w:firstLineChars="150" w:firstLine="420"/>
        <w:jc w:val="right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856DCD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856DCD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856DCD" w:rsidRPr="008D283C" w:rsidRDefault="00856DCD" w:rsidP="008D283C">
      <w:pPr>
        <w:ind w:firstLineChars="150" w:firstLine="420"/>
        <w:jc w:val="both"/>
        <w:rPr>
          <w:rFonts w:ascii="PT Astra Serif" w:hAnsi="PT Astra Serif"/>
          <w:b/>
          <w:sz w:val="28"/>
          <w:szCs w:val="28"/>
        </w:rPr>
      </w:pPr>
    </w:p>
    <w:p w:rsidR="00F253D7" w:rsidRPr="008D283C" w:rsidRDefault="00295757" w:rsidP="003C0389">
      <w:pPr>
        <w:jc w:val="center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b/>
          <w:sz w:val="28"/>
          <w:szCs w:val="28"/>
        </w:rPr>
        <w:t>«О внесении изменений в Решение Собрания депутатов муниципального образования город Богородицк Богородицкого района от 17.10.2023 №16-42 «Об организации похоронного дела и содержания общественных кладбищ на территории муниципального образования город Богородицк Богородицкого района»</w:t>
      </w:r>
    </w:p>
    <w:p w:rsidR="00F253D7" w:rsidRPr="008D283C" w:rsidRDefault="00F253D7" w:rsidP="003C0389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F253D7" w:rsidRPr="008D283C" w:rsidRDefault="00295757" w:rsidP="008D283C">
      <w:pPr>
        <w:pStyle w:val="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sz w:val="28"/>
          <w:szCs w:val="28"/>
        </w:rPr>
      </w:pPr>
      <w:r w:rsidRPr="008D283C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8D283C">
          <w:rPr>
            <w:rFonts w:ascii="PT Astra Serif" w:hAnsi="PT Astra Serif"/>
            <w:b w:val="0"/>
            <w:sz w:val="28"/>
            <w:szCs w:val="28"/>
          </w:rPr>
          <w:t>законом</w:t>
        </w:r>
      </w:hyperlink>
      <w:r w:rsidRPr="008D283C">
        <w:rPr>
          <w:rFonts w:ascii="PT Astra Serif" w:hAnsi="PT Astra Serif"/>
          <w:b w:val="0"/>
          <w:sz w:val="28"/>
          <w:szCs w:val="28"/>
        </w:rPr>
        <w:t xml:space="preserve"> РФ от 14.01.1993 N 4292-1 (ред. от 13.06.2023) "Об увековечении памяти погибших при защите Отечества", Федеральным законом от 12.01.1996 N 8-ФЗ "О погребении и похоронном деле", Федеральным законом от 31.05.1996 №61-ФЗ «Об обороне», Федеральным </w:t>
      </w:r>
      <w:hyperlink r:id="rId8" w:history="1">
        <w:r w:rsidRPr="008D283C">
          <w:rPr>
            <w:rFonts w:ascii="PT Astra Serif" w:hAnsi="PT Astra Serif"/>
            <w:b w:val="0"/>
            <w:sz w:val="28"/>
            <w:szCs w:val="28"/>
          </w:rPr>
          <w:t>законом</w:t>
        </w:r>
      </w:hyperlink>
      <w:r w:rsidRPr="008D283C">
        <w:rPr>
          <w:rFonts w:ascii="PT Astra Serif" w:hAnsi="PT Astra Serif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санитарными правилами и нормами </w:t>
      </w:r>
      <w:hyperlink r:id="rId9" w:history="1">
        <w:r w:rsidRPr="008D283C">
          <w:rPr>
            <w:rFonts w:ascii="PT Astra Serif" w:hAnsi="PT Astra Serif"/>
            <w:b w:val="0"/>
            <w:sz w:val="28"/>
            <w:szCs w:val="28"/>
          </w:rPr>
          <w:t>СанПиН 2.1.2882-11</w:t>
        </w:r>
      </w:hyperlink>
      <w:r w:rsidRPr="008D283C">
        <w:rPr>
          <w:rFonts w:ascii="PT Astra Serif" w:hAnsi="PT Astra Serif"/>
          <w:b w:val="0"/>
          <w:sz w:val="28"/>
          <w:szCs w:val="28"/>
        </w:rPr>
        <w:t xml:space="preserve"> "Гигиенические требования к размещению, устройству и содержанию кладбищ, зданий и сооружений похоронного значения", утвержденными Постановлением Главного государственного санитарного врача Российской Федерации от 28 июня 2011 года N 84, на основании Устава городского поселения город Богородицк Богородицкого муниципального района Тульской области, Собрание депутатов муниципального образования город Богородицк Богородицкого района, РЕШИЛО:</w:t>
      </w:r>
    </w:p>
    <w:p w:rsidR="00F253D7" w:rsidRPr="008D283C" w:rsidRDefault="00295757" w:rsidP="008D28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1.Внести в Решение Собрания представителей муниципального образования город Богородицк Богородицкого района от 17.10.2023 №16-42 «Об утверждении Положения «Об организации похоронного дела и содержания общественных кладбищ на территории муниципального образования город Богородицк Богородицкого района» следующие изменения:</w:t>
      </w:r>
    </w:p>
    <w:p w:rsidR="00F253D7" w:rsidRPr="008D283C" w:rsidRDefault="00295757" w:rsidP="008D28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 xml:space="preserve">1.1. раздел 7 «Почетные и воинские захоронения» изложить в следующей редакции: </w:t>
      </w:r>
    </w:p>
    <w:p w:rsidR="00F253D7" w:rsidRPr="008D283C" w:rsidRDefault="00295757" w:rsidP="008D283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D283C">
        <w:rPr>
          <w:rFonts w:ascii="PT Astra Serif" w:hAnsi="PT Astra Serif"/>
          <w:sz w:val="28"/>
          <w:szCs w:val="28"/>
          <w:shd w:val="clear" w:color="auto" w:fill="FFFFFF"/>
        </w:rPr>
        <w:t xml:space="preserve">«7.1 На общественном кладбище города Богородицка Тульской области предусмотрены участки для воинских захоронений и предназначены для погребения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заболевания, а так же умершие (погибшие) граждане, уволенные с </w:t>
      </w:r>
      <w:r w:rsidRPr="008D283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умерших вследствие ранения, контузии, заболевания в связи с осуществлением служебной деятельности, ветеранов военной службы,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7.1.1. Решение о погребении на таких участках принимается администрацией муниципального образования Богородицкий район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7.1.2. На участке для воинских захоронений предусмотрена площадка для отдания воинских почестей, а также маршевую дорогу для торжественного марша воинского подразделения. Ширину маршевой дороги (площадки) следует принимать не менее 4,5 м., длину не менее 20 м.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7.1.3. Отвод участков для воинских захоронений на воинских участках общественных кладбищ не может превышать 5 кв. метров с учетом последующего подзахоронения близкого родственника и оставлением проходов слева вдоль захоронения 1,0 м, справа вдоль захоронения 0,5 м, вдоль следующего захоронения, справа 1,0 м, проход между рядами 0,5 м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7.1.4. Участок для воинского захоронения предоставляется бесплатно.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7.1.5. Захоронения перечисленной в п.7.1. категории лиц на воинских участках кладбищ с предоставлением права на получение социального пособия производятся на основании предъявления следующих документов: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Для участников войны: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направление ВМК,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свидетельство о смерти,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удостоверение участника войны,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копия военного билета или приписного свидетельства, или архивная справка об участии в боевых действиях.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Для пенсионеров Министерства обороны: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направление ВМК,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свидетельство о смерти,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пенсионное удостоверение, если нет - военный билет, удостоверение о праве на льготы, удостоверение «Ветеран военной службы».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Для военнослужащих Министерства обороны: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направление ВМК,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свидетельство о смерти,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выписка из личного дела.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lastRenderedPageBreak/>
        <w:t>Для близких родственников вышеперечисленных категорий лиц: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свидетельство о смерти,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документ, подтверждающий родство,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подлинное свидетельство о смерти на захороненного.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7.1.6. Предоставление выплат социального пособия осуществляется военными комиссариатами по месту жительства покойного.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 xml:space="preserve">7.1.7. Погребение производится в соответствии с требованиями: </w:t>
      </w:r>
      <w:r w:rsidRPr="008D283C">
        <w:rPr>
          <w:rFonts w:ascii="PT Astra Serif" w:hAnsi="PT Astra Serif"/>
          <w:sz w:val="28"/>
          <w:szCs w:val="28"/>
          <w:shd w:val="clear" w:color="auto" w:fill="FFFFFF"/>
        </w:rPr>
        <w:t>соответствии с по</w:t>
      </w:r>
      <w:r w:rsidRPr="008D283C">
        <w:rPr>
          <w:rFonts w:ascii="PT Astra Serif" w:hAnsi="PT Astra Serif"/>
          <w:sz w:val="28"/>
          <w:szCs w:val="28"/>
        </w:rPr>
        <w:t>становлением Правительства РФ от 17.08.2024 N 1109 "О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надгробий)"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7.1.8. Надгробные сооружения устанавливаются по заказам родственников с допустимыми в настоящем Положении габаритами: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высота памятника не должна превышать 1,5 м,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ширина и длина должны соответствовать размерам могилы,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- ограждение не должно превышать размеры отведенного участка на захоронении.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7.1.9. При захоронении возможно проведение воинского ритуала, связанного с отданием воинских почестей. Организацией проведения ритуала отдания воинских почестей занимается воинские комиссариаты по месту жительства покойного.</w:t>
      </w:r>
    </w:p>
    <w:p w:rsidR="00F253D7" w:rsidRPr="008D283C" w:rsidRDefault="00295757" w:rsidP="008D283C">
      <w:pPr>
        <w:pStyle w:val="a5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7.1.10. Захоронения производятся на свободные места воинских участков на общественных кладбищах.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7.1.11 Использование существующей могилы для нового захоронения допускается не ранее, чем через 20 лет после последнего захоронения.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7.1.12. Подзахоронение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захороненного, на умершего, документа, подтверждающего близкое родство между умершими, соответствующей надписи на надмогильном сооружении.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7" w:right="227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z w:val="28"/>
          <w:szCs w:val="28"/>
        </w:rPr>
        <w:t>2.Контроль за исполнением настоящего решения возложить на постоянную комиссию по социальным вопросам (Карулина Н.В.).</w:t>
      </w:r>
    </w:p>
    <w:p w:rsidR="00F253D7" w:rsidRPr="008D283C" w:rsidRDefault="00295757" w:rsidP="008D283C">
      <w:pPr>
        <w:pStyle w:val="a5"/>
        <w:shd w:val="clear" w:color="auto" w:fill="FFFFFF"/>
        <w:spacing w:before="0" w:beforeAutospacing="0" w:after="0" w:afterAutospacing="0"/>
        <w:ind w:left="227" w:right="227" w:firstLine="709"/>
        <w:jc w:val="both"/>
        <w:rPr>
          <w:rFonts w:ascii="PT Astra Serif" w:hAnsi="PT Astra Serif"/>
          <w:sz w:val="28"/>
          <w:szCs w:val="28"/>
        </w:rPr>
      </w:pPr>
      <w:r w:rsidRPr="008D283C">
        <w:rPr>
          <w:rFonts w:ascii="PT Astra Serif" w:hAnsi="PT Astra Serif"/>
          <w:spacing w:val="-2"/>
          <w:sz w:val="28"/>
          <w:szCs w:val="28"/>
        </w:rPr>
        <w:t>3. Р</w:t>
      </w:r>
      <w:r w:rsidRPr="008D283C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F253D7" w:rsidRPr="008D283C" w:rsidRDefault="00F253D7" w:rsidP="008D283C">
      <w:pPr>
        <w:ind w:left="36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F253D7" w:rsidRPr="008D283C" w:rsidRDefault="00295757" w:rsidP="008D283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8D283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253D7" w:rsidRPr="008D283C" w:rsidRDefault="00295757" w:rsidP="008D283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8D283C">
        <w:rPr>
          <w:rFonts w:ascii="PT Astra Serif" w:hAnsi="PT Astra Serif"/>
          <w:b/>
          <w:sz w:val="28"/>
          <w:szCs w:val="28"/>
        </w:rPr>
        <w:t>город Богородицк Богородицкого района                                  Н.А. Зенкина</w:t>
      </w:r>
    </w:p>
    <w:p w:rsidR="00F253D7" w:rsidRPr="008D283C" w:rsidRDefault="00F253D7" w:rsidP="008D283C">
      <w:pPr>
        <w:jc w:val="both"/>
        <w:rPr>
          <w:rFonts w:ascii="PT Astra Serif" w:hAnsi="PT Astra Serif"/>
          <w:sz w:val="28"/>
          <w:szCs w:val="28"/>
        </w:rPr>
      </w:pPr>
    </w:p>
    <w:sectPr w:rsidR="00F253D7" w:rsidRPr="008D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15" w:rsidRDefault="00D76E15">
      <w:r>
        <w:separator/>
      </w:r>
    </w:p>
  </w:endnote>
  <w:endnote w:type="continuationSeparator" w:id="0">
    <w:p w:rsidR="00D76E15" w:rsidRDefault="00D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15" w:rsidRDefault="00D76E15">
      <w:r>
        <w:separator/>
      </w:r>
    </w:p>
  </w:footnote>
  <w:footnote w:type="continuationSeparator" w:id="0">
    <w:p w:rsidR="00D76E15" w:rsidRDefault="00D7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9"/>
    <w:rsid w:val="00030251"/>
    <w:rsid w:val="00077002"/>
    <w:rsid w:val="000842C9"/>
    <w:rsid w:val="00086340"/>
    <w:rsid w:val="00097570"/>
    <w:rsid w:val="0009777A"/>
    <w:rsid w:val="000B50D5"/>
    <w:rsid w:val="000E3312"/>
    <w:rsid w:val="000F27B9"/>
    <w:rsid w:val="000F4AD9"/>
    <w:rsid w:val="00117C73"/>
    <w:rsid w:val="00201FAE"/>
    <w:rsid w:val="002372EA"/>
    <w:rsid w:val="00294966"/>
    <w:rsid w:val="00295757"/>
    <w:rsid w:val="00302209"/>
    <w:rsid w:val="00316EF0"/>
    <w:rsid w:val="00391300"/>
    <w:rsid w:val="0039433B"/>
    <w:rsid w:val="003C0389"/>
    <w:rsid w:val="00403145"/>
    <w:rsid w:val="00410F97"/>
    <w:rsid w:val="00416762"/>
    <w:rsid w:val="00445218"/>
    <w:rsid w:val="00457FDC"/>
    <w:rsid w:val="004C3223"/>
    <w:rsid w:val="004D5210"/>
    <w:rsid w:val="00531B18"/>
    <w:rsid w:val="005C6DF1"/>
    <w:rsid w:val="00617857"/>
    <w:rsid w:val="00634CAA"/>
    <w:rsid w:val="00647932"/>
    <w:rsid w:val="00672845"/>
    <w:rsid w:val="00683295"/>
    <w:rsid w:val="006915E5"/>
    <w:rsid w:val="006A138C"/>
    <w:rsid w:val="006A7546"/>
    <w:rsid w:val="00726405"/>
    <w:rsid w:val="007D68A4"/>
    <w:rsid w:val="00856DCD"/>
    <w:rsid w:val="00876209"/>
    <w:rsid w:val="008C6451"/>
    <w:rsid w:val="008C7BA1"/>
    <w:rsid w:val="008D283C"/>
    <w:rsid w:val="00913664"/>
    <w:rsid w:val="009303C0"/>
    <w:rsid w:val="0095556C"/>
    <w:rsid w:val="00965454"/>
    <w:rsid w:val="009A54A4"/>
    <w:rsid w:val="00A145AE"/>
    <w:rsid w:val="00A168C0"/>
    <w:rsid w:val="00A40B53"/>
    <w:rsid w:val="00B34211"/>
    <w:rsid w:val="00B36E36"/>
    <w:rsid w:val="00B43F98"/>
    <w:rsid w:val="00BD6662"/>
    <w:rsid w:val="00C32BA3"/>
    <w:rsid w:val="00C81673"/>
    <w:rsid w:val="00C86812"/>
    <w:rsid w:val="00CD5354"/>
    <w:rsid w:val="00CF3BB3"/>
    <w:rsid w:val="00D20F39"/>
    <w:rsid w:val="00D36842"/>
    <w:rsid w:val="00D40670"/>
    <w:rsid w:val="00D7031D"/>
    <w:rsid w:val="00D76E15"/>
    <w:rsid w:val="00D92BD3"/>
    <w:rsid w:val="00DB74F2"/>
    <w:rsid w:val="00DD214E"/>
    <w:rsid w:val="00E54DAC"/>
    <w:rsid w:val="00EA099C"/>
    <w:rsid w:val="00EE6D58"/>
    <w:rsid w:val="00F023D8"/>
    <w:rsid w:val="00F253D7"/>
    <w:rsid w:val="00F74DC5"/>
    <w:rsid w:val="00F85B42"/>
    <w:rsid w:val="00F958A4"/>
    <w:rsid w:val="4D9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D7FD"/>
  <w15:docId w15:val="{0D39D2D1-4A1E-456F-B802-8BED4311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 w:cs="Times New Roman"/>
      <w:kern w:val="1"/>
      <w:szCs w:val="24"/>
      <w:lang w:eastAsia="en-US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4">
    <w:name w:val="Основной текст Знак"/>
    <w:basedOn w:val="a0"/>
    <w:link w:val="a3"/>
    <w:qFormat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7B907AADC03E94C91EB72E919C6D582AFD1545CD978F97A215E3D4E5964E9AB3AE902CB9FACBDCCt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57B907AADC03E94C91EB72E919C6D582ADD2525BD478F97A215E3D4E5964E9AB3AE902CCt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7B907AADC03E94C91EB72E919C6D581ACD9525AD778F97A215E3D4E5964E9AB3AE902CB9FADB5CC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A92A-567B-4C96-9BAD-D80C019F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Галина Геннадьевна</cp:lastModifiedBy>
  <cp:revision>4</cp:revision>
  <cp:lastPrinted>2020-09-07T11:21:00Z</cp:lastPrinted>
  <dcterms:created xsi:type="dcterms:W3CDTF">2025-02-12T13:31:00Z</dcterms:created>
  <dcterms:modified xsi:type="dcterms:W3CDTF">2025-02-12T13:32:00Z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6AC5FC6F1BE744E1A505095AED5B6032_12</vt:lpwstr>
  </property>
</Properties>
</file>